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F1E4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ascii="微软雅黑" w:hAnsi="微软雅黑" w:eastAsia="微软雅黑" w:cs="微软雅黑"/>
          <w:color w:val="E11F02"/>
          <w:spacing w:val="30"/>
          <w:sz w:val="30"/>
          <w:szCs w:val="30"/>
          <w:bdr w:val="none" w:color="auto" w:sz="0" w:space="0"/>
        </w:rPr>
        <w:t>赋“能”班主任 筑牢“心”防线</w:t>
      </w:r>
    </w:p>
    <w:p w14:paraId="04D4357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rStyle w:val="5"/>
          <w:rFonts w:hint="eastAsia" w:ascii="微软雅黑" w:hAnsi="微软雅黑" w:eastAsia="微软雅黑" w:cs="微软雅黑"/>
          <w:sz w:val="24"/>
          <w:szCs w:val="24"/>
          <w:bdr w:val="none" w:color="auto" w:sz="0" w:space="0"/>
        </w:rPr>
        <w:t>景德镇机电工程学校举办班主任岗位心理能力提升培训班</w:t>
      </w:r>
    </w:p>
    <w:p w14:paraId="520C814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400050" cy="361950"/>
            <wp:effectExtent l="0" t="0" r="0" b="0"/>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IMG_256"/>
                    <pic:cNvPicPr>
                      <a:picLocks noChangeAspect="1"/>
                    </pic:cNvPicPr>
                  </pic:nvPicPr>
                  <pic:blipFill>
                    <a:blip r:embed="rId4"/>
                    <a:stretch>
                      <a:fillRect/>
                    </a:stretch>
                  </pic:blipFill>
                  <pic:spPr>
                    <a:xfrm>
                      <a:off x="0" y="0"/>
                      <a:ext cx="400050" cy="361950"/>
                    </a:xfrm>
                    <a:prstGeom prst="rect">
                      <a:avLst/>
                    </a:prstGeom>
                    <a:noFill/>
                    <a:ln w="9525">
                      <a:noFill/>
                    </a:ln>
                  </pic:spPr>
                </pic:pic>
              </a:graphicData>
            </a:graphic>
          </wp:inline>
        </w:drawing>
      </w:r>
    </w:p>
    <w:p w14:paraId="0EBED98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drawing>
          <wp:inline distT="0" distB="0" distL="114300" distR="114300">
            <wp:extent cx="1571625" cy="2076450"/>
            <wp:effectExtent l="0" t="0" r="9525" b="0"/>
            <wp:docPr id="8"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IMG_257"/>
                    <pic:cNvPicPr>
                      <a:picLocks noChangeAspect="1"/>
                    </pic:cNvPicPr>
                  </pic:nvPicPr>
                  <pic:blipFill>
                    <a:blip r:embed="rId5"/>
                    <a:stretch>
                      <a:fillRect/>
                    </a:stretch>
                  </pic:blipFill>
                  <pic:spPr>
                    <a:xfrm>
                      <a:off x="0" y="0"/>
                      <a:ext cx="1571625" cy="2076450"/>
                    </a:xfrm>
                    <a:prstGeom prst="rect">
                      <a:avLst/>
                    </a:prstGeom>
                    <a:noFill/>
                    <a:ln w="9525">
                      <a:noFill/>
                    </a:ln>
                  </pic:spPr>
                </pic:pic>
              </a:graphicData>
            </a:graphic>
          </wp:inline>
        </w:drawing>
      </w:r>
    </w:p>
    <w:p w14:paraId="7BC19963">
      <w:pPr>
        <w:keepNext w:val="0"/>
        <w:keepLines w:val="0"/>
        <w:widowControl/>
        <w:suppressLineNumbers w:val="0"/>
        <w:jc w:val="left"/>
      </w:pPr>
      <w:r>
        <w:rPr>
          <w:rFonts w:ascii="宋体" w:hAnsi="宋体" w:eastAsia="宋体" w:cs="宋体"/>
          <w:kern w:val="0"/>
          <w:sz w:val="21"/>
          <w:szCs w:val="21"/>
          <w:bdr w:val="none" w:color="auto" w:sz="0" w:space="0"/>
          <w:lang w:val="en-US" w:eastAsia="zh-CN" w:bidi="ar"/>
        </w:rPr>
        <w:t>2025年6月14日上午9点，景德镇机电工程学校班主任岗位心理能力提升培训班正式开班。培训主讲人为国家二级心理师、江西省心理卫生协会理事、省家教协会副秘书长詹凤兰教授，全体班主任、政教处人员及部分教师参与培训。开班式由学校党总支书记康乐阗主持，市教研所所长钟志云亲临现场并作动员讲话，副校长杨捷、副书记刘文革共同出席。</w:t>
      </w:r>
    </w:p>
    <w:p w14:paraId="34C40F1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5C71A03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78026D6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443C5B8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7E29330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2058021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22769E3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3675" cy="2925445"/>
            <wp:effectExtent l="0" t="0" r="3175" b="8255"/>
            <wp:docPr id="10"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IMG_258"/>
                    <pic:cNvPicPr>
                      <a:picLocks noChangeAspect="1"/>
                    </pic:cNvPicPr>
                  </pic:nvPicPr>
                  <pic:blipFill>
                    <a:blip r:embed="rId6"/>
                    <a:stretch>
                      <a:fillRect/>
                    </a:stretch>
                  </pic:blipFill>
                  <pic:spPr>
                    <a:xfrm>
                      <a:off x="0" y="0"/>
                      <a:ext cx="5273675" cy="2925445"/>
                    </a:xfrm>
                    <a:prstGeom prst="rect">
                      <a:avLst/>
                    </a:prstGeom>
                    <a:noFill/>
                    <a:ln w="9525">
                      <a:noFill/>
                    </a:ln>
                  </pic:spPr>
                </pic:pic>
              </a:graphicData>
            </a:graphic>
          </wp:inline>
        </w:drawing>
      </w:r>
    </w:p>
    <w:p w14:paraId="4AEC8CF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6929C21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78F040E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4157CC5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474AE92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6DD7839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7DFF65E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043FA78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3934A21C">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52418DB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p>
    <w:p w14:paraId="0A1D1E9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6690" cy="3423285"/>
            <wp:effectExtent l="0" t="0" r="10160" b="5715"/>
            <wp:docPr id="9"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IMG_259"/>
                    <pic:cNvPicPr>
                      <a:picLocks noChangeAspect="1"/>
                    </pic:cNvPicPr>
                  </pic:nvPicPr>
                  <pic:blipFill>
                    <a:blip r:embed="rId7"/>
                    <a:stretch>
                      <a:fillRect/>
                    </a:stretch>
                  </pic:blipFill>
                  <pic:spPr>
                    <a:xfrm>
                      <a:off x="0" y="0"/>
                      <a:ext cx="5266690" cy="3423285"/>
                    </a:xfrm>
                    <a:prstGeom prst="rect">
                      <a:avLst/>
                    </a:prstGeom>
                    <a:noFill/>
                    <a:ln w="9525">
                      <a:noFill/>
                    </a:ln>
                  </pic:spPr>
                </pic:pic>
              </a:graphicData>
            </a:graphic>
          </wp:inline>
        </w:drawing>
      </w:r>
    </w:p>
    <w:p w14:paraId="33755B3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D85AD9F">
      <w:pPr>
        <w:keepNext w:val="0"/>
        <w:keepLines w:val="0"/>
        <w:widowControl/>
        <w:suppressLineNumbers w:val="0"/>
        <w:jc w:val="left"/>
      </w:pPr>
      <w:r>
        <w:rPr>
          <w:rFonts w:ascii="宋体" w:hAnsi="宋体" w:eastAsia="宋体" w:cs="宋体"/>
          <w:kern w:val="0"/>
          <w:sz w:val="21"/>
          <w:szCs w:val="21"/>
          <w:bdr w:val="none" w:color="auto" w:sz="0" w:space="0"/>
          <w:lang w:val="en-US" w:eastAsia="zh-CN" w:bidi="ar"/>
        </w:rPr>
        <w:t>近年来，教育教学工作压力持续增大，学生心理健康问题呈现复杂化趋势。据2024年我市市直学校在校学生心理健康筛查数据显示，初中、高中学生焦虑、抑郁倾向比例显著，亟需教师具备敏锐的早期识别与干预能力，教育部《全面加强学生心理健康工作专项行动计划（2023-2025年）》明确要求教师掌握基础心理危机干预技能。在此背景下，本次培训成为学校落实政策要求、回应现实需求的关键举措。钟所长在动员讲话中强调了教师掌握心理辅导技能的紧迫性和重要性。班主任作为学生心理健康守护的“第一道防线”，需具备快速识别危机信号的能力。当前教师普遍对心理危机干预流程缺乏规范认知，而校园心理危机事件频发，及时干预可降低80%以上恶性事件发生率。他希望大家珍惜此次培训机会，学深悟透专业技能，真正成为学生心灵成长的引路人。要通过培训增强自己的危机预警能力，这不仅有助于确保学生的安全，还能帮助建立一个坚固的校园心理安全网络，有利于提升教育环境，增进师生之间的关系，提高班级管理的效率。</w:t>
      </w:r>
    </w:p>
    <w:p w14:paraId="31634BA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69230" cy="3303270"/>
            <wp:effectExtent l="0" t="0" r="7620" b="11430"/>
            <wp:docPr id="6"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IMG_260"/>
                    <pic:cNvPicPr>
                      <a:picLocks noChangeAspect="1"/>
                    </pic:cNvPicPr>
                  </pic:nvPicPr>
                  <pic:blipFill>
                    <a:blip r:embed="rId8"/>
                    <a:stretch>
                      <a:fillRect/>
                    </a:stretch>
                  </pic:blipFill>
                  <pic:spPr>
                    <a:xfrm>
                      <a:off x="0" y="0"/>
                      <a:ext cx="5269230" cy="3303270"/>
                    </a:xfrm>
                    <a:prstGeom prst="rect">
                      <a:avLst/>
                    </a:prstGeom>
                    <a:noFill/>
                    <a:ln w="9525">
                      <a:noFill/>
                    </a:ln>
                  </pic:spPr>
                </pic:pic>
              </a:graphicData>
            </a:graphic>
          </wp:inline>
        </w:drawing>
      </w:r>
    </w:p>
    <w:p w14:paraId="4076420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0500" cy="3949700"/>
            <wp:effectExtent l="0" t="0" r="6350" b="12700"/>
            <wp:docPr id="3"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IMG_261"/>
                    <pic:cNvPicPr>
                      <a:picLocks noChangeAspect="1"/>
                    </pic:cNvPicPr>
                  </pic:nvPicPr>
                  <pic:blipFill>
                    <a:blip r:embed="rId9"/>
                    <a:stretch>
                      <a:fillRect/>
                    </a:stretch>
                  </pic:blipFill>
                  <pic:spPr>
                    <a:xfrm>
                      <a:off x="0" y="0"/>
                      <a:ext cx="5270500" cy="3949700"/>
                    </a:xfrm>
                    <a:prstGeom prst="rect">
                      <a:avLst/>
                    </a:prstGeom>
                    <a:noFill/>
                    <a:ln w="9525">
                      <a:noFill/>
                    </a:ln>
                  </pic:spPr>
                </pic:pic>
              </a:graphicData>
            </a:graphic>
          </wp:inline>
        </w:drawing>
      </w:r>
    </w:p>
    <w:p w14:paraId="3ED3693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市教研所所长钟志云作开班动员讲话</w:t>
      </w:r>
    </w:p>
    <w:p w14:paraId="40E18C16">
      <w:pPr>
        <w:keepNext w:val="0"/>
        <w:keepLines w:val="0"/>
        <w:widowControl/>
        <w:suppressLineNumbers w:val="0"/>
        <w:jc w:val="left"/>
      </w:pPr>
      <w:r>
        <w:rPr>
          <w:rFonts w:ascii="宋体" w:hAnsi="宋体" w:eastAsia="宋体" w:cs="宋体"/>
          <w:kern w:val="0"/>
          <w:sz w:val="21"/>
          <w:szCs w:val="21"/>
          <w:bdr w:val="none" w:color="auto" w:sz="0" w:space="0"/>
          <w:lang w:val="en-US" w:eastAsia="zh-CN" w:bidi="ar"/>
        </w:rPr>
        <w:t>本次培训得到了市教研所的大力支持，市中小学心理健康教育服务中心精心策划了培训方案。培训课程紧密贴合实际需求，包括普通心理的正常与异常、心理健康与不健康以及健康心理学、心理问题评估与诊断及变态心理学等内容，涵盖从情绪疏导到危机干预的全流程技能，安排科学且针对性强。詹凤兰教授的讲课从理论层面帮助教师厘清心理状态的判别标准，结合具体案例解析实操技巧，通过理论+实践的深度融合，提升教师尤其是班主任对心理问题的精准评估与干预能力。</w:t>
      </w:r>
    </w:p>
    <w:p w14:paraId="5AFD767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3040" cy="3959860"/>
            <wp:effectExtent l="0" t="0" r="3810" b="2540"/>
            <wp:docPr id="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descr="IMG_262"/>
                    <pic:cNvPicPr>
                      <a:picLocks noChangeAspect="1"/>
                    </pic:cNvPicPr>
                  </pic:nvPicPr>
                  <pic:blipFill>
                    <a:blip r:embed="rId10"/>
                    <a:stretch>
                      <a:fillRect/>
                    </a:stretch>
                  </pic:blipFill>
                  <pic:spPr>
                    <a:xfrm>
                      <a:off x="0" y="0"/>
                      <a:ext cx="5273040" cy="3959860"/>
                    </a:xfrm>
                    <a:prstGeom prst="rect">
                      <a:avLst/>
                    </a:prstGeom>
                    <a:noFill/>
                    <a:ln w="9525">
                      <a:noFill/>
                    </a:ln>
                  </pic:spPr>
                </pic:pic>
              </a:graphicData>
            </a:graphic>
          </wp:inline>
        </w:drawing>
      </w:r>
    </w:p>
    <w:p w14:paraId="53B785B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5273040" cy="3961765"/>
            <wp:effectExtent l="0" t="0" r="3810" b="635"/>
            <wp:docPr id="1"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descr="IMG_263"/>
                    <pic:cNvPicPr>
                      <a:picLocks noChangeAspect="1"/>
                    </pic:cNvPicPr>
                  </pic:nvPicPr>
                  <pic:blipFill>
                    <a:blip r:embed="rId11"/>
                    <a:stretch>
                      <a:fillRect/>
                    </a:stretch>
                  </pic:blipFill>
                  <pic:spPr>
                    <a:xfrm>
                      <a:off x="0" y="0"/>
                      <a:ext cx="5273040" cy="3961765"/>
                    </a:xfrm>
                    <a:prstGeom prst="rect">
                      <a:avLst/>
                    </a:prstGeom>
                    <a:noFill/>
                    <a:ln w="9525">
                      <a:noFill/>
                    </a:ln>
                  </pic:spPr>
                </pic:pic>
              </a:graphicData>
            </a:graphic>
          </wp:inline>
        </w:drawing>
      </w:r>
    </w:p>
    <w:p w14:paraId="063F4D6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sz w:val="18"/>
          <w:szCs w:val="18"/>
          <w:bdr w:val="none" w:color="auto" w:sz="0" w:space="0"/>
        </w:rPr>
        <w:t>詹凤兰教授讲课</w:t>
      </w:r>
    </w:p>
    <w:p w14:paraId="4CBAE4B1">
      <w:pPr>
        <w:keepNext w:val="0"/>
        <w:keepLines w:val="0"/>
        <w:widowControl/>
        <w:suppressLineNumbers w:val="0"/>
        <w:jc w:val="left"/>
      </w:pPr>
      <w:r>
        <w:rPr>
          <w:rFonts w:ascii="宋体" w:hAnsi="宋体" w:eastAsia="宋体" w:cs="宋体"/>
          <w:kern w:val="0"/>
          <w:sz w:val="21"/>
          <w:szCs w:val="21"/>
          <w:bdr w:val="none" w:color="auto" w:sz="0" w:space="0"/>
          <w:lang w:val="en-US" w:eastAsia="zh-CN" w:bidi="ar"/>
        </w:rPr>
        <w:t>此次培训不仅着眼于当下能力提升，更致力于长远生态建设。通过培训，教师将掌握心理测评工具的使用方法，规范心理咨询接访流程，实现学生心理困扰“早发现、早介入”；同时，通过分级分类干预策略，轻度问题由教师直接疏导，重度问题及时转介专业机构，形成阶梯式支持网络。从长期看，参训教师将成为校内心理健康教育的骨干力量，通过经验分享、二次培训带动全体教师参与学习，推动学校将心理健康教育纳入常规工作，构建家校社协同育人的长效机制。教育是心灵与心灵的对话，守护学生心理健康，我们责无旁贷。后续学校将继续开设心理健康课堂，持续关注师生心理需求，建立常态化培训机制，为构建和谐教育生态奠定坚实基础，为学生的身心健康与全面发展筑牢“心”防线。</w:t>
      </w:r>
    </w:p>
    <w:p w14:paraId="373E409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  </w:t>
      </w:r>
    </w:p>
    <w:p w14:paraId="10B87C0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4457700" cy="4591050"/>
            <wp:effectExtent l="0" t="0" r="0" b="0"/>
            <wp:docPr id="5"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descr="IMG_264"/>
                    <pic:cNvPicPr>
                      <a:picLocks noChangeAspect="1"/>
                    </pic:cNvPicPr>
                  </pic:nvPicPr>
                  <pic:blipFill>
                    <a:blip r:embed="rId12"/>
                    <a:stretch>
                      <a:fillRect/>
                    </a:stretch>
                  </pic:blipFill>
                  <pic:spPr>
                    <a:xfrm>
                      <a:off x="0" y="0"/>
                      <a:ext cx="4457700" cy="4591050"/>
                    </a:xfrm>
                    <a:prstGeom prst="rect">
                      <a:avLst/>
                    </a:prstGeom>
                    <a:noFill/>
                    <a:ln w="9525">
                      <a:noFill/>
                    </a:ln>
                  </pic:spPr>
                </pic:pic>
              </a:graphicData>
            </a:graphic>
          </wp:inline>
        </w:drawing>
      </w:r>
    </w:p>
    <w:p w14:paraId="4EB82E3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E408BEB">
      <w:pPr>
        <w:keepNext w:val="0"/>
        <w:keepLines w:val="0"/>
        <w:widowControl/>
        <w:suppressLineNumbers w:val="0"/>
        <w:jc w:val="left"/>
      </w:pPr>
    </w:p>
    <w:p w14:paraId="52672A3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A8A8FA3">
      <w:pPr>
        <w:keepNext w:val="0"/>
        <w:keepLines w:val="0"/>
        <w:widowControl/>
        <w:suppressLineNumbers w:val="0"/>
        <w:pBdr>
          <w:top w:val="none" w:color="auto" w:sz="0" w:space="0"/>
          <w:left w:val="none" w:color="auto" w:sz="0" w:space="0"/>
          <w:bottom w:val="none" w:color="auto" w:sz="0" w:space="0"/>
          <w:right w:val="none" w:color="auto" w:sz="0" w:space="0"/>
        </w:pBdr>
        <w:spacing w:line="21" w:lineRule="atLeast"/>
        <w:jc w:val="left"/>
        <w:rPr>
          <w:rFonts w:ascii="Microsoft YaHei UI" w:hAnsi="Microsoft YaHei UI" w:eastAsia="Microsoft YaHei UI" w:cs="Microsoft YaHei UI"/>
          <w:u w:val="none"/>
        </w:rPr>
      </w:pPr>
      <w:r>
        <w:rPr>
          <w:rFonts w:hint="eastAsia" w:ascii="Microsoft YaHei UI" w:hAnsi="Microsoft YaHei UI" w:eastAsia="Microsoft YaHei UI" w:cs="Microsoft YaHei UI"/>
          <w:kern w:val="0"/>
          <w:sz w:val="24"/>
          <w:szCs w:val="24"/>
          <w:u w:val="none"/>
          <w:lang w:val="en-US" w:eastAsia="zh-CN" w:bidi="ar"/>
        </w:rPr>
        <w:drawing>
          <wp:inline distT="0" distB="0" distL="114300" distR="114300">
            <wp:extent cx="1428750" cy="1428750"/>
            <wp:effectExtent l="0" t="0" r="0" b="0"/>
            <wp:docPr id="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IMG_265"/>
                    <pic:cNvPicPr>
                      <a:picLocks noChangeAspect="1"/>
                    </pic:cNvPicPr>
                  </pic:nvPicPr>
                  <pic:blipFill>
                    <a:blip r:embed="rId13"/>
                    <a:stretch>
                      <a:fillRect/>
                    </a:stretch>
                  </pic:blipFill>
                  <pic:spPr>
                    <a:xfrm>
                      <a:off x="0" y="0"/>
                      <a:ext cx="1428750" cy="1428750"/>
                    </a:xfrm>
                    <a:prstGeom prst="rect">
                      <a:avLst/>
                    </a:prstGeom>
                    <a:noFill/>
                    <a:ln w="9525">
                      <a:noFill/>
                    </a:ln>
                  </pic:spPr>
                </pic:pic>
              </a:graphicData>
            </a:graphic>
          </wp:inline>
        </w:drawing>
      </w:r>
    </w:p>
    <w:p w14:paraId="6BACE56E">
      <w:pPr>
        <w:keepNext w:val="0"/>
        <w:keepLines w:val="0"/>
        <w:widowControl/>
        <w:suppressLineNumbers w:val="0"/>
        <w:pBdr>
          <w:top w:val="none" w:color="auto" w:sz="0" w:space="0"/>
          <w:bottom w:val="none" w:color="auto" w:sz="0" w:space="0"/>
          <w:right w:val="none" w:color="auto" w:sz="0" w:space="0"/>
        </w:pBdr>
        <w:spacing w:line="18" w:lineRule="atLeast"/>
        <w:jc w:val="left"/>
        <w:rPr>
          <w:rFonts w:hint="eastAsia" w:ascii="Microsoft YaHei UI" w:hAnsi="Microsoft YaHei UI" w:eastAsia="Microsoft YaHei UI" w:cs="Microsoft YaHei UI"/>
          <w:sz w:val="25"/>
          <w:szCs w:val="25"/>
          <w:u w:val="none"/>
        </w:rPr>
      </w:pPr>
      <w:r>
        <w:rPr>
          <w:rStyle w:val="5"/>
          <w:rFonts w:hint="eastAsia" w:ascii="Microsoft YaHei UI" w:hAnsi="Microsoft YaHei UI" w:eastAsia="Microsoft YaHei UI" w:cs="Microsoft YaHei UI"/>
          <w:kern w:val="0"/>
          <w:sz w:val="25"/>
          <w:szCs w:val="25"/>
          <w:u w:val="none"/>
          <w:lang w:val="en-US" w:eastAsia="zh-CN" w:bidi="ar"/>
        </w:rPr>
        <w:t>景德镇第二高级职业中学</w:t>
      </w:r>
    </w:p>
    <w:p w14:paraId="731E71BA">
      <w:pPr>
        <w:keepNext w:val="0"/>
        <w:keepLines w:val="0"/>
        <w:widowControl/>
        <w:suppressLineNumbers w:val="0"/>
        <w:pBdr>
          <w:top w:val="none" w:color="auto" w:sz="0" w:space="0"/>
          <w:bottom w:val="none" w:color="auto" w:sz="0" w:space="0"/>
          <w:right w:val="none" w:color="auto" w:sz="0" w:space="0"/>
        </w:pBdr>
        <w:spacing w:before="60" w:beforeAutospacing="0"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lang w:val="en-US" w:eastAsia="zh-CN" w:bidi="ar"/>
        </w:rPr>
        <w:t>景德镇第二高级职业中学（景德镇机电工程学校、景德镇旅游学校、景德镇第十一中学）</w:t>
      </w:r>
    </w:p>
    <w:p w14:paraId="55B47D0C">
      <w:pPr>
        <w:keepNext w:val="0"/>
        <w:keepLines w:val="0"/>
        <w:widowControl/>
        <w:suppressLineNumbers w:val="0"/>
        <w:pBdr>
          <w:top w:val="none" w:color="auto" w:sz="0" w:space="0"/>
          <w:bottom w:val="none" w:color="auto" w:sz="0" w:space="0"/>
          <w:right w:val="none" w:color="auto" w:sz="0" w:space="0"/>
        </w:pBdr>
        <w:spacing w:before="60" w:beforeAutospacing="0"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lang w:val="en-US" w:eastAsia="zh-CN" w:bidi="ar"/>
        </w:rPr>
        <w:t>52篇原创内容</w:t>
      </w:r>
    </w:p>
    <w:p w14:paraId="08380DF0">
      <w:pPr>
        <w:keepNext w:val="0"/>
        <w:keepLines w:val="0"/>
        <w:widowControl/>
        <w:suppressLineNumbers w:val="0"/>
        <w:pBdr>
          <w:top w:val="none" w:color="auto" w:sz="0" w:space="0"/>
          <w:left w:val="none" w:color="auto" w:sz="0" w:space="0"/>
          <w:bottom w:val="none" w:color="auto" w:sz="0" w:space="0"/>
          <w:right w:val="none" w:color="auto" w:sz="0" w:space="0"/>
        </w:pBdr>
        <w:spacing w:line="21" w:lineRule="atLeast"/>
        <w:jc w:val="left"/>
        <w:rPr>
          <w:rFonts w:hint="eastAsia" w:ascii="Microsoft YaHei UI" w:hAnsi="Microsoft YaHei UI" w:eastAsia="Microsoft YaHei UI" w:cs="Microsoft YaHei UI"/>
          <w:sz w:val="21"/>
          <w:szCs w:val="21"/>
          <w:u w:val="none"/>
        </w:rPr>
      </w:pPr>
      <w:r>
        <w:rPr>
          <w:rFonts w:hint="eastAsia" w:ascii="Microsoft YaHei UI" w:hAnsi="Microsoft YaHei UI" w:eastAsia="Microsoft YaHei UI" w:cs="Microsoft YaHei UI"/>
          <w:kern w:val="0"/>
          <w:sz w:val="21"/>
          <w:szCs w:val="21"/>
          <w:u w:val="none"/>
          <w:bdr w:val="none" w:color="auto" w:sz="0" w:space="0"/>
          <w:lang w:val="en-US" w:eastAsia="zh-CN" w:bidi="ar"/>
        </w:rPr>
        <w:t>公众号</w:t>
      </w:r>
    </w:p>
    <w:p w14:paraId="4B1D490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393781A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74D25A5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0480629E">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一审：戴晓蓉</w:t>
      </w:r>
    </w:p>
    <w:p w14:paraId="3718B90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二审：黄  奇</w:t>
      </w:r>
    </w:p>
    <w:p w14:paraId="35DD52D0">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三审：杨  捷</w:t>
      </w:r>
    </w:p>
    <w:p w14:paraId="6746F47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一校：周  鹏</w:t>
      </w:r>
    </w:p>
    <w:p w14:paraId="225112D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二校：刘小林</w:t>
      </w:r>
      <w:bookmarkStart w:id="0" w:name="_GoBack"/>
      <w:bookmarkEnd w:id="0"/>
    </w:p>
    <w:p w14:paraId="2FE31E2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r>
        <w:rPr>
          <w:bdr w:val="none" w:color="auto" w:sz="0" w:space="0"/>
        </w:rPr>
        <w:t>三校：万芸郦</w:t>
      </w:r>
    </w:p>
    <w:p w14:paraId="3EE7535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pPr>
    </w:p>
    <w:p w14:paraId="4DED8F88"/>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icrosoft YaHei UI">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55A5D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GIF"/><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2025-12-18T05:05:49Z</dcterms:created>
  <dc:creator>Administrator</dc:creator>
  <cp:lastModifiedBy>周鹏</cp:lastModifiedBy>
  <dcterms:modified xsi:type="dcterms:W3CDTF">2025-12-18T05:05:59Z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eyJoZGlkIjoiYzE2NDU5YjJiN2Q3ZGJlNDIxMDk0ZGIwMjZjZDFjMDciLCJ1c2VySWQiOiIxNDQ5MjY1MDkxIn0=</vt:lpwstr>
  </property>
  <property fmtid="{D5CDD505-2E9C-101B-9397-08002B2CF9AE}" pid="4" name="ICV">
    <vt:lpwstr>18F2C0E306D24261B90C8DA8C4A8B351_12</vt:lpwstr>
  </property>
</Properties>
</file>